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D5B60" w14:textId="674E15EC" w:rsidR="00D97FC5" w:rsidRPr="00596200" w:rsidRDefault="00D97FC5" w:rsidP="00985F74">
      <w:pPr>
        <w:spacing w:line="240" w:lineRule="atLeast"/>
        <w:jc w:val="center"/>
        <w:rPr>
          <w:rFonts w:ascii="標楷體" w:eastAsia="標楷體" w:hAnsi="標楷體"/>
          <w:bCs/>
          <w:sz w:val="32"/>
          <w:szCs w:val="32"/>
        </w:rPr>
      </w:pPr>
      <w:bookmarkStart w:id="0" w:name="_GoBack"/>
      <w:bookmarkEnd w:id="0"/>
      <w:r w:rsidRPr="00596200">
        <w:rPr>
          <w:rFonts w:ascii="標楷體" w:eastAsia="標楷體" w:hAnsi="標楷體" w:hint="eastAsia"/>
          <w:bCs/>
          <w:sz w:val="32"/>
          <w:szCs w:val="32"/>
        </w:rPr>
        <w:t>中國科技大學跨領域實務專題</w:t>
      </w:r>
      <w:r w:rsidR="00E816DA" w:rsidRPr="004E0A04">
        <w:rPr>
          <w:rFonts w:ascii="標楷體" w:eastAsia="標楷體" w:hAnsi="標楷體" w:hint="eastAsia"/>
          <w:bCs/>
          <w:sz w:val="32"/>
          <w:szCs w:val="32"/>
        </w:rPr>
        <w:t>獎勵</w:t>
      </w:r>
      <w:r w:rsidRPr="00596200">
        <w:rPr>
          <w:rFonts w:ascii="標楷體" w:eastAsia="標楷體" w:hAnsi="標楷體" w:hint="eastAsia"/>
          <w:bCs/>
          <w:sz w:val="32"/>
          <w:szCs w:val="32"/>
        </w:rPr>
        <w:t>要點</w:t>
      </w:r>
    </w:p>
    <w:p w14:paraId="24E69E27" w14:textId="77777777" w:rsidR="00D97FC5" w:rsidRPr="00596200" w:rsidRDefault="00D97FC5" w:rsidP="00985F74">
      <w:pPr>
        <w:widowControl/>
        <w:spacing w:line="240" w:lineRule="atLeast"/>
        <w:jc w:val="right"/>
        <w:rPr>
          <w:rFonts w:ascii="標楷體" w:eastAsia="標楷體" w:hAnsi="標楷體"/>
          <w:bCs/>
          <w:sz w:val="20"/>
        </w:rPr>
      </w:pPr>
      <w:r w:rsidRPr="00596200">
        <w:rPr>
          <w:rFonts w:ascii="標楷體" w:eastAsia="標楷體" w:hAnsi="標楷體" w:cs="新細明體" w:hint="eastAsia"/>
          <w:bCs/>
          <w:color w:val="000000"/>
          <w:kern w:val="36"/>
          <w:sz w:val="20"/>
        </w:rPr>
        <w:t>中華民國104年12月07日行政會議</w:t>
      </w:r>
      <w:r w:rsidRPr="00596200">
        <w:rPr>
          <w:rFonts w:ascii="標楷體" w:eastAsia="標楷體" w:hAnsi="標楷體" w:hint="eastAsia"/>
          <w:bCs/>
          <w:sz w:val="20"/>
        </w:rPr>
        <w:t>通過</w:t>
      </w:r>
    </w:p>
    <w:p w14:paraId="3E4DFB03" w14:textId="77777777" w:rsidR="00D97FC5" w:rsidRPr="00596200" w:rsidRDefault="00D97FC5" w:rsidP="00985F74">
      <w:pPr>
        <w:widowControl/>
        <w:spacing w:line="240" w:lineRule="atLeast"/>
        <w:jc w:val="right"/>
        <w:rPr>
          <w:rFonts w:ascii="標楷體" w:eastAsia="標楷體" w:hAnsi="標楷體"/>
          <w:bCs/>
          <w:sz w:val="20"/>
        </w:rPr>
      </w:pPr>
      <w:r w:rsidRPr="00596200">
        <w:rPr>
          <w:rFonts w:ascii="標楷體" w:eastAsia="標楷體" w:hAnsi="標楷體" w:cs="新細明體" w:hint="eastAsia"/>
          <w:bCs/>
          <w:color w:val="000000"/>
          <w:kern w:val="36"/>
          <w:sz w:val="20"/>
        </w:rPr>
        <w:t>中華民國10</w:t>
      </w:r>
      <w:r>
        <w:rPr>
          <w:rFonts w:ascii="標楷體" w:eastAsia="標楷體" w:hAnsi="標楷體" w:cs="新細明體" w:hint="eastAsia"/>
          <w:bCs/>
          <w:color w:val="000000"/>
          <w:kern w:val="36"/>
          <w:sz w:val="20"/>
        </w:rPr>
        <w:t>6</w:t>
      </w:r>
      <w:r w:rsidRPr="00596200">
        <w:rPr>
          <w:rFonts w:ascii="標楷體" w:eastAsia="標楷體" w:hAnsi="標楷體" w:cs="新細明體" w:hint="eastAsia"/>
          <w:bCs/>
          <w:color w:val="000000"/>
          <w:kern w:val="36"/>
          <w:sz w:val="20"/>
        </w:rPr>
        <w:t>年</w:t>
      </w:r>
      <w:r>
        <w:rPr>
          <w:rFonts w:ascii="標楷體" w:eastAsia="標楷體" w:hAnsi="標楷體" w:cs="新細明體" w:hint="eastAsia"/>
          <w:bCs/>
          <w:color w:val="000000"/>
          <w:kern w:val="36"/>
          <w:sz w:val="20"/>
        </w:rPr>
        <w:t>7</w:t>
      </w:r>
      <w:r w:rsidRPr="00596200">
        <w:rPr>
          <w:rFonts w:ascii="標楷體" w:eastAsia="標楷體" w:hAnsi="標楷體" w:cs="新細明體" w:hint="eastAsia"/>
          <w:bCs/>
          <w:color w:val="000000"/>
          <w:kern w:val="36"/>
          <w:sz w:val="20"/>
        </w:rPr>
        <w:t>月</w:t>
      </w:r>
      <w:r>
        <w:rPr>
          <w:rFonts w:ascii="標楷體" w:eastAsia="標楷體" w:hAnsi="標楷體" w:cs="新細明體" w:hint="eastAsia"/>
          <w:bCs/>
          <w:color w:val="000000"/>
          <w:kern w:val="36"/>
          <w:sz w:val="20"/>
        </w:rPr>
        <w:t>17</w:t>
      </w:r>
      <w:r w:rsidRPr="00596200">
        <w:rPr>
          <w:rFonts w:ascii="標楷體" w:eastAsia="標楷體" w:hAnsi="標楷體" w:cs="新細明體" w:hint="eastAsia"/>
          <w:bCs/>
          <w:color w:val="000000"/>
          <w:kern w:val="36"/>
          <w:sz w:val="20"/>
        </w:rPr>
        <w:t>日行政會議</w:t>
      </w:r>
      <w:r>
        <w:rPr>
          <w:rFonts w:ascii="標楷體" w:eastAsia="標楷體" w:hAnsi="標楷體" w:hint="eastAsia"/>
          <w:bCs/>
          <w:sz w:val="20"/>
        </w:rPr>
        <w:t>修訂</w:t>
      </w:r>
    </w:p>
    <w:p w14:paraId="50A36872" w14:textId="4EEE7B4E" w:rsidR="00D97FC5" w:rsidRPr="00985F74" w:rsidRDefault="00985F74" w:rsidP="00985F74">
      <w:pPr>
        <w:spacing w:line="240" w:lineRule="atLeast"/>
        <w:jc w:val="right"/>
        <w:rPr>
          <w:rFonts w:ascii="標楷體" w:eastAsia="標楷體" w:hAnsi="標楷體"/>
          <w:sz w:val="20"/>
          <w:szCs w:val="20"/>
        </w:rPr>
      </w:pPr>
      <w:r w:rsidRPr="00985F74">
        <w:rPr>
          <w:rFonts w:ascii="標楷體" w:eastAsia="標楷體" w:hAnsi="標楷體" w:hint="eastAsia"/>
          <w:sz w:val="20"/>
          <w:szCs w:val="20"/>
        </w:rPr>
        <w:t>中華民國108年12月02日行政會議統一修訂文字</w:t>
      </w:r>
    </w:p>
    <w:p w14:paraId="517EEF34" w14:textId="6763E34E" w:rsidR="00BE1F94" w:rsidRPr="00BE1F94" w:rsidRDefault="00BE1F94" w:rsidP="00BE1F94">
      <w:pPr>
        <w:spacing w:line="240" w:lineRule="atLeast"/>
        <w:jc w:val="right"/>
        <w:rPr>
          <w:rFonts w:ascii="標楷體" w:eastAsia="標楷體" w:hAnsi="標楷體"/>
          <w:kern w:val="0"/>
          <w:sz w:val="20"/>
          <w:szCs w:val="24"/>
        </w:rPr>
      </w:pPr>
      <w:r w:rsidRPr="00BE1F94">
        <w:rPr>
          <w:rFonts w:ascii="標楷體" w:eastAsia="標楷體" w:hAnsi="標楷體"/>
          <w:kern w:val="0"/>
          <w:sz w:val="20"/>
          <w:szCs w:val="24"/>
        </w:rPr>
        <w:t>中華民國</w:t>
      </w:r>
      <w:r w:rsidRPr="00BE1F94">
        <w:rPr>
          <w:rFonts w:ascii="標楷體" w:eastAsia="標楷體" w:hAnsi="標楷體" w:hint="eastAsia"/>
          <w:kern w:val="0"/>
          <w:sz w:val="20"/>
          <w:szCs w:val="24"/>
        </w:rPr>
        <w:t>110</w:t>
      </w:r>
      <w:r w:rsidRPr="00BE1F94">
        <w:rPr>
          <w:rFonts w:ascii="標楷體" w:eastAsia="標楷體" w:hAnsi="標楷體"/>
          <w:kern w:val="0"/>
          <w:sz w:val="20"/>
          <w:szCs w:val="24"/>
        </w:rPr>
        <w:t>年</w:t>
      </w:r>
      <w:r w:rsidRPr="00BE1F94">
        <w:rPr>
          <w:rFonts w:ascii="標楷體" w:eastAsia="標楷體" w:hAnsi="標楷體" w:hint="eastAsia"/>
          <w:kern w:val="0"/>
          <w:sz w:val="20"/>
          <w:szCs w:val="24"/>
        </w:rPr>
        <w:t>0</w:t>
      </w:r>
      <w:r w:rsidR="004E0A04">
        <w:rPr>
          <w:rFonts w:ascii="標楷體" w:eastAsia="標楷體" w:hAnsi="標楷體" w:hint="eastAsia"/>
          <w:kern w:val="0"/>
          <w:sz w:val="20"/>
          <w:szCs w:val="24"/>
        </w:rPr>
        <w:t>7</w:t>
      </w:r>
      <w:r w:rsidRPr="00BE1F94">
        <w:rPr>
          <w:rFonts w:ascii="標楷體" w:eastAsia="標楷體" w:hAnsi="標楷體"/>
          <w:kern w:val="0"/>
          <w:sz w:val="20"/>
          <w:szCs w:val="24"/>
        </w:rPr>
        <w:t>月</w:t>
      </w:r>
      <w:r w:rsidR="004E0A04">
        <w:rPr>
          <w:rFonts w:ascii="標楷體" w:eastAsia="標楷體" w:hAnsi="標楷體" w:hint="eastAsia"/>
          <w:kern w:val="0"/>
          <w:sz w:val="20"/>
          <w:szCs w:val="24"/>
        </w:rPr>
        <w:t>19</w:t>
      </w:r>
      <w:r w:rsidRPr="00BE1F94">
        <w:rPr>
          <w:rFonts w:ascii="標楷體" w:eastAsia="標楷體" w:hAnsi="標楷體"/>
          <w:kern w:val="0"/>
          <w:sz w:val="20"/>
          <w:szCs w:val="24"/>
        </w:rPr>
        <w:t>日行政會議修</w:t>
      </w:r>
      <w:r w:rsidRPr="00BE1F94">
        <w:rPr>
          <w:rFonts w:ascii="標楷體" w:eastAsia="標楷體" w:hAnsi="標楷體" w:hint="eastAsia"/>
          <w:kern w:val="0"/>
          <w:sz w:val="20"/>
          <w:szCs w:val="24"/>
        </w:rPr>
        <w:t>正通過</w:t>
      </w:r>
    </w:p>
    <w:p w14:paraId="2DFD48D6" w14:textId="77777777" w:rsidR="00985F74" w:rsidRPr="00BE1F94" w:rsidRDefault="00985F74" w:rsidP="00985F74">
      <w:pPr>
        <w:spacing w:line="240" w:lineRule="atLeast"/>
        <w:jc w:val="right"/>
        <w:rPr>
          <w:rFonts w:ascii="標楷體" w:eastAsia="標楷體" w:hAnsi="標楷體"/>
          <w:sz w:val="20"/>
          <w:szCs w:val="20"/>
        </w:rPr>
      </w:pPr>
    </w:p>
    <w:p w14:paraId="558A0E0D" w14:textId="77777777" w:rsidR="00AC7854" w:rsidRPr="00AC7854" w:rsidRDefault="00AC7854" w:rsidP="00AC7854">
      <w:pPr>
        <w:spacing w:line="240" w:lineRule="atLeast"/>
        <w:ind w:left="480" w:hangingChars="200" w:hanging="480"/>
        <w:rPr>
          <w:rFonts w:ascii="標楷體" w:eastAsia="標楷體" w:hAnsi="標楷體"/>
        </w:rPr>
      </w:pPr>
      <w:r w:rsidRPr="00AC7854">
        <w:rPr>
          <w:rFonts w:ascii="標楷體" w:eastAsia="標楷體" w:hAnsi="標楷體" w:hint="eastAsia"/>
        </w:rPr>
        <w:t>一、中國科技大學(以下簡稱本校)為促進跨領域知能培養之教學特色，</w:t>
      </w:r>
      <w:r w:rsidRPr="004E0A04">
        <w:rPr>
          <w:rFonts w:ascii="標楷體" w:eastAsia="標楷體" w:hAnsi="標楷體" w:hint="eastAsia"/>
          <w:kern w:val="0"/>
          <w:szCs w:val="24"/>
        </w:rPr>
        <w:t>依「中國科技大學提升師資素質獎補助辦法」，特</w:t>
      </w:r>
      <w:r w:rsidRPr="00AC7854">
        <w:rPr>
          <w:rFonts w:ascii="標楷體" w:eastAsia="標楷體" w:hAnsi="標楷體" w:hint="eastAsia"/>
        </w:rPr>
        <w:t>訂定「中國科技大學跨領域實務專題獎</w:t>
      </w:r>
      <w:r w:rsidRPr="00AC7854">
        <w:rPr>
          <w:rFonts w:ascii="標楷體" w:eastAsia="標楷體" w:hAnsi="標楷體" w:hint="eastAsia"/>
          <w:u w:val="single"/>
        </w:rPr>
        <w:t>勵</w:t>
      </w:r>
      <w:r w:rsidRPr="00AC7854">
        <w:rPr>
          <w:rFonts w:ascii="標楷體" w:eastAsia="標楷體" w:hAnsi="標楷體" w:hint="eastAsia"/>
        </w:rPr>
        <w:t>要點」</w:t>
      </w:r>
      <w:r w:rsidRPr="00AC7854">
        <w:rPr>
          <w:rFonts w:ascii="標楷體" w:eastAsia="標楷體" w:hAnsi="標楷體" w:cs="標楷體" w:hint="eastAsia"/>
          <w:bCs/>
          <w:kern w:val="0"/>
          <w:szCs w:val="24"/>
          <w:lang w:val="zh-TW"/>
        </w:rPr>
        <w:t>（以下簡稱本要點）</w:t>
      </w:r>
    </w:p>
    <w:p w14:paraId="2C49FB84" w14:textId="4FC8B285" w:rsidR="00AC7854" w:rsidRPr="00AC7854" w:rsidRDefault="00AC7854" w:rsidP="00AC7854">
      <w:pPr>
        <w:spacing w:line="240" w:lineRule="atLeast"/>
        <w:ind w:left="480" w:hangingChars="200" w:hanging="480"/>
        <w:rPr>
          <w:rFonts w:ascii="標楷體" w:eastAsia="標楷體" w:hAnsi="標楷體"/>
        </w:rPr>
      </w:pPr>
      <w:r w:rsidRPr="00AC7854">
        <w:rPr>
          <w:rFonts w:ascii="標楷體" w:eastAsia="標楷體" w:hAnsi="標楷體" w:hint="eastAsia"/>
        </w:rPr>
        <w:t>二、獎</w:t>
      </w:r>
      <w:r w:rsidR="004E0A04">
        <w:rPr>
          <w:rFonts w:ascii="標楷體" w:eastAsia="標楷體" w:hAnsi="標楷體" w:hint="eastAsia"/>
        </w:rPr>
        <w:t>勵</w:t>
      </w:r>
      <w:r w:rsidRPr="00AC7854">
        <w:rPr>
          <w:rFonts w:ascii="標楷體" w:eastAsia="標楷體" w:hAnsi="標楷體" w:hint="eastAsia"/>
        </w:rPr>
        <w:t>對象</w:t>
      </w:r>
    </w:p>
    <w:p w14:paraId="2D42B4EC" w14:textId="1A4E38EB" w:rsidR="00AC7854" w:rsidRPr="00AC7854" w:rsidRDefault="00AC7854" w:rsidP="00AC7854">
      <w:pPr>
        <w:spacing w:line="240" w:lineRule="atLeast"/>
        <w:ind w:leftChars="200" w:left="480"/>
        <w:jc w:val="both"/>
        <w:rPr>
          <w:rFonts w:ascii="標楷體" w:eastAsia="標楷體" w:hAnsi="標楷體"/>
        </w:rPr>
      </w:pPr>
      <w:r w:rsidRPr="004E0A04">
        <w:rPr>
          <w:rFonts w:ascii="標楷體" w:eastAsia="標楷體" w:hAnsi="標楷體" w:hint="eastAsia"/>
        </w:rPr>
        <w:t>以本校專任教師指導學生</w:t>
      </w:r>
      <w:r w:rsidRPr="00AC7854">
        <w:rPr>
          <w:rFonts w:ascii="標楷體" w:eastAsia="標楷體" w:hAnsi="標楷體" w:hint="eastAsia"/>
        </w:rPr>
        <w:t>進行之</w:t>
      </w:r>
      <w:r w:rsidRPr="00AC7854">
        <w:rPr>
          <w:rFonts w:ascii="標楷體" w:eastAsia="標楷體" w:hAnsi="標楷體"/>
        </w:rPr>
        <w:t>專題</w:t>
      </w:r>
      <w:r w:rsidRPr="00AC7854">
        <w:rPr>
          <w:rFonts w:ascii="標楷體" w:eastAsia="標楷體" w:hAnsi="標楷體" w:hint="eastAsia"/>
        </w:rPr>
        <w:t>，整合不同科系的實務實作</w:t>
      </w:r>
      <w:r w:rsidRPr="00AC7854">
        <w:rPr>
          <w:rFonts w:ascii="標楷體" w:eastAsia="標楷體" w:hAnsi="標楷體"/>
        </w:rPr>
        <w:t>為</w:t>
      </w:r>
      <w:r w:rsidRPr="00AC7854">
        <w:rPr>
          <w:rFonts w:ascii="標楷體" w:eastAsia="標楷體" w:hAnsi="標楷體" w:hint="eastAsia"/>
        </w:rPr>
        <w:t>獎</w:t>
      </w:r>
      <w:r w:rsidR="004E0A04">
        <w:rPr>
          <w:rFonts w:ascii="標楷體" w:eastAsia="標楷體" w:hAnsi="標楷體" w:hint="eastAsia"/>
        </w:rPr>
        <w:t>勵</w:t>
      </w:r>
      <w:r w:rsidRPr="00AC7854">
        <w:rPr>
          <w:rFonts w:ascii="標楷體" w:eastAsia="標楷體" w:hAnsi="標楷體"/>
        </w:rPr>
        <w:t>對象</w:t>
      </w:r>
      <w:r w:rsidRPr="00AC7854">
        <w:rPr>
          <w:rFonts w:ascii="標楷體" w:eastAsia="標楷體" w:hAnsi="標楷體" w:hint="eastAsia"/>
        </w:rPr>
        <w:t>。團隊成員需由本校不同科系的專題指導老師</w:t>
      </w:r>
      <w:r w:rsidRPr="00AC7854">
        <w:rPr>
          <w:rFonts w:ascii="Times New Roman" w:eastAsia="標楷體" w:hAnsi="Times New Roman"/>
        </w:rPr>
        <w:t>2</w:t>
      </w:r>
      <w:r w:rsidRPr="00AC7854">
        <w:rPr>
          <w:rFonts w:ascii="標楷體" w:eastAsia="標楷體" w:hAnsi="標楷體" w:hint="eastAsia"/>
        </w:rPr>
        <w:t>人(含)以上，以及</w:t>
      </w:r>
      <w:r w:rsidRPr="004E0A04">
        <w:rPr>
          <w:rFonts w:ascii="Times New Roman" w:eastAsia="標楷體" w:hAnsi="Times New Roman"/>
        </w:rPr>
        <w:t>2</w:t>
      </w:r>
      <w:r w:rsidRPr="00AC7854">
        <w:rPr>
          <w:rFonts w:ascii="標楷體" w:eastAsia="標楷體" w:hAnsi="標楷體" w:hint="eastAsia"/>
        </w:rPr>
        <w:t>組(含)以上不同科系的專題製作學生共同組成。</w:t>
      </w:r>
      <w:r w:rsidRPr="004E0A04">
        <w:rPr>
          <w:rFonts w:ascii="標楷體" w:eastAsia="標楷體" w:hAnsi="標楷體" w:hint="eastAsia"/>
        </w:rPr>
        <w:t>指導老師與</w:t>
      </w:r>
      <w:r w:rsidRPr="00AC7854">
        <w:rPr>
          <w:rFonts w:ascii="標楷體" w:eastAsia="標楷體" w:hAnsi="標楷體" w:hint="eastAsia"/>
        </w:rPr>
        <w:t>學生需涵蓋不同科系，具有不同領域之專長。</w:t>
      </w:r>
    </w:p>
    <w:p w14:paraId="73237D86" w14:textId="2628CE3F" w:rsidR="00AC7854" w:rsidRPr="00AC7854" w:rsidRDefault="0023456F" w:rsidP="00AC7854">
      <w:pPr>
        <w:spacing w:line="240" w:lineRule="atLeast"/>
        <w:rPr>
          <w:rFonts w:ascii="標楷體" w:eastAsia="標楷體" w:hAnsi="標楷體"/>
        </w:rPr>
      </w:pPr>
      <w:r>
        <w:rPr>
          <w:rFonts w:ascii="標楷體" w:eastAsia="標楷體" w:hAnsi="標楷體" w:hint="eastAsia"/>
        </w:rPr>
        <w:t>三、申請與執行</w:t>
      </w:r>
    </w:p>
    <w:p w14:paraId="33937BEF" w14:textId="749AD38B" w:rsidR="00AC7854" w:rsidRPr="00AC7854" w:rsidRDefault="00AC7854" w:rsidP="00DE1D4F">
      <w:pPr>
        <w:spacing w:line="240" w:lineRule="atLeast"/>
        <w:ind w:leftChars="170" w:left="1164" w:hangingChars="315" w:hanging="756"/>
        <w:rPr>
          <w:rFonts w:ascii="標楷體" w:eastAsia="標楷體" w:hAnsi="標楷體"/>
        </w:rPr>
      </w:pPr>
      <w:r w:rsidRPr="00AC7854">
        <w:rPr>
          <w:rFonts w:ascii="標楷體" w:eastAsia="標楷體" w:hAnsi="標楷體" w:hint="eastAsia"/>
          <w:szCs w:val="24"/>
        </w:rPr>
        <w:t>（一）</w:t>
      </w:r>
      <w:r w:rsidRPr="00AC7854">
        <w:rPr>
          <w:rFonts w:ascii="Arial" w:eastAsia="標楷體" w:hAnsi="標楷體" w:hint="eastAsia"/>
          <w:szCs w:val="24"/>
        </w:rPr>
        <w:t>教務處</w:t>
      </w:r>
      <w:r w:rsidRPr="00AC7854">
        <w:rPr>
          <w:rFonts w:ascii="Arial" w:eastAsia="標楷體" w:hAnsi="標楷體"/>
          <w:szCs w:val="24"/>
        </w:rPr>
        <w:t>受理</w:t>
      </w:r>
      <w:r w:rsidRPr="00AC7854">
        <w:rPr>
          <w:rFonts w:ascii="Arial" w:eastAsia="標楷體" w:hAnsi="標楷體" w:hint="eastAsia"/>
          <w:szCs w:val="24"/>
        </w:rPr>
        <w:t>時間為每學期</w:t>
      </w:r>
      <w:r w:rsidRPr="00AC7854">
        <w:rPr>
          <w:rFonts w:ascii="標楷體" w:eastAsia="標楷體" w:hAnsi="標楷體" w:hint="eastAsia"/>
          <w:szCs w:val="24"/>
        </w:rPr>
        <w:t>開始至開學後</w:t>
      </w:r>
      <w:r w:rsidR="00DE1D4F" w:rsidRPr="00596200">
        <w:rPr>
          <w:rFonts w:ascii="標楷體" w:eastAsia="標楷體" w:hAnsi="標楷體" w:hint="eastAsia"/>
          <w:szCs w:val="24"/>
        </w:rPr>
        <w:t>第</w:t>
      </w:r>
      <w:r w:rsidR="00DE1D4F" w:rsidRPr="00A44018">
        <w:rPr>
          <w:rFonts w:ascii="Times New Roman" w:eastAsia="標楷體" w:hAnsi="Times New Roman"/>
          <w:szCs w:val="24"/>
        </w:rPr>
        <w:t>1</w:t>
      </w:r>
      <w:proofErr w:type="gramStart"/>
      <w:r w:rsidR="00DE1D4F" w:rsidRPr="00596200">
        <w:rPr>
          <w:rFonts w:ascii="標楷體" w:eastAsia="標楷體" w:hAnsi="標楷體" w:hint="eastAsia"/>
          <w:szCs w:val="24"/>
        </w:rPr>
        <w:t>週</w:t>
      </w:r>
      <w:proofErr w:type="gramEnd"/>
      <w:r w:rsidRPr="00AC7854">
        <w:rPr>
          <w:rFonts w:ascii="標楷體" w:eastAsia="標楷體" w:hAnsi="標楷體" w:hint="eastAsia"/>
          <w:szCs w:val="24"/>
        </w:rPr>
        <w:t>結束</w:t>
      </w:r>
      <w:r w:rsidRPr="00AC7854">
        <w:rPr>
          <w:rFonts w:ascii="標楷體" w:eastAsia="標楷體" w:hAnsi="標楷體" w:hint="eastAsia"/>
        </w:rPr>
        <w:t>，專題團隊需於期間內提出申請；執行期限依實際公告為</w:t>
      </w:r>
      <w:proofErr w:type="gramStart"/>
      <w:r w:rsidRPr="00AC7854">
        <w:rPr>
          <w:rFonts w:ascii="標楷體" w:eastAsia="標楷體" w:hAnsi="標楷體" w:hint="eastAsia"/>
        </w:rPr>
        <w:t>準</w:t>
      </w:r>
      <w:proofErr w:type="gramEnd"/>
      <w:r w:rsidRPr="00AC7854">
        <w:rPr>
          <w:rFonts w:ascii="標楷體" w:eastAsia="標楷體" w:hAnsi="標楷體" w:hint="eastAsia"/>
        </w:rPr>
        <w:t>。</w:t>
      </w:r>
    </w:p>
    <w:p w14:paraId="3C065C36" w14:textId="77777777" w:rsidR="00AC7854" w:rsidRPr="00AC7854" w:rsidRDefault="00AC7854" w:rsidP="00AC7854">
      <w:pPr>
        <w:spacing w:line="240" w:lineRule="atLeast"/>
        <w:ind w:leftChars="169" w:left="490" w:hangingChars="35" w:hanging="84"/>
        <w:rPr>
          <w:rFonts w:ascii="標楷體" w:eastAsia="標楷體" w:hAnsi="標楷體"/>
        </w:rPr>
      </w:pPr>
      <w:r w:rsidRPr="00AC7854">
        <w:rPr>
          <w:rFonts w:ascii="標楷體" w:eastAsia="標楷體" w:hAnsi="標楷體" w:hint="eastAsia"/>
          <w:szCs w:val="24"/>
        </w:rPr>
        <w:t>（二）</w:t>
      </w:r>
      <w:r w:rsidRPr="00AC7854">
        <w:rPr>
          <w:rFonts w:ascii="標楷體" w:eastAsia="標楷體" w:hAnsi="標楷體" w:hint="eastAsia"/>
        </w:rPr>
        <w:t>申請人應檢附申請表件，以團隊為單位，向教務處提出申請。</w:t>
      </w:r>
    </w:p>
    <w:p w14:paraId="5B0C5C08" w14:textId="77777777" w:rsidR="00AC7854" w:rsidRPr="00AC7854" w:rsidRDefault="00AC7854" w:rsidP="00AC7854">
      <w:pPr>
        <w:spacing w:line="240" w:lineRule="atLeast"/>
        <w:ind w:left="480" w:hangingChars="200" w:hanging="480"/>
        <w:rPr>
          <w:rFonts w:ascii="標楷體" w:eastAsia="標楷體" w:hAnsi="標楷體"/>
        </w:rPr>
      </w:pPr>
      <w:r w:rsidRPr="00AC7854">
        <w:rPr>
          <w:rFonts w:ascii="標楷體" w:eastAsia="標楷體" w:hAnsi="標楷體" w:hint="eastAsia"/>
        </w:rPr>
        <w:t>四、經費來源：</w:t>
      </w:r>
      <w:proofErr w:type="gramStart"/>
      <w:r w:rsidRPr="00AC7854">
        <w:rPr>
          <w:rFonts w:ascii="標楷體" w:eastAsia="標楷體" w:hAnsi="標楷體" w:hint="eastAsia"/>
        </w:rPr>
        <w:t>每案獎助</w:t>
      </w:r>
      <w:proofErr w:type="gramEnd"/>
      <w:r w:rsidRPr="00AC7854">
        <w:rPr>
          <w:rFonts w:ascii="標楷體" w:eastAsia="標楷體" w:hAnsi="標楷體" w:hint="eastAsia"/>
        </w:rPr>
        <w:t>金額由教育部私立技專院校整體發展獎補助款或學校編列預算，及審查通過之組數而定。</w:t>
      </w:r>
    </w:p>
    <w:p w14:paraId="043385A3" w14:textId="654FFF6B" w:rsidR="00AC7854" w:rsidRPr="00AC7854" w:rsidRDefault="0023456F" w:rsidP="00AC7854">
      <w:pPr>
        <w:spacing w:line="240" w:lineRule="atLeast"/>
        <w:rPr>
          <w:rFonts w:ascii="標楷體" w:eastAsia="標楷體" w:hAnsi="標楷體"/>
        </w:rPr>
      </w:pPr>
      <w:r>
        <w:rPr>
          <w:rFonts w:ascii="標楷體" w:eastAsia="標楷體" w:hAnsi="標楷體" w:hint="eastAsia"/>
        </w:rPr>
        <w:t>五、獎勵方式</w:t>
      </w:r>
    </w:p>
    <w:p w14:paraId="479A72D0" w14:textId="03514715" w:rsidR="00AC7854" w:rsidRPr="004E0A04" w:rsidRDefault="00AC7854" w:rsidP="00B374E6">
      <w:pPr>
        <w:spacing w:line="240" w:lineRule="atLeast"/>
        <w:ind w:leftChars="175" w:left="1176" w:hangingChars="315" w:hanging="756"/>
        <w:rPr>
          <w:rFonts w:ascii="標楷體" w:eastAsia="標楷體" w:hAnsi="標楷體"/>
          <w:szCs w:val="20"/>
        </w:rPr>
      </w:pPr>
      <w:r w:rsidRPr="00AC7854">
        <w:rPr>
          <w:rFonts w:ascii="標楷體" w:eastAsia="標楷體" w:hAnsi="標楷體" w:hint="eastAsia"/>
        </w:rPr>
        <w:t>（一）</w:t>
      </w:r>
      <w:r w:rsidR="00B374E6" w:rsidRPr="00A44018">
        <w:rPr>
          <w:rFonts w:ascii="標楷體" w:eastAsia="標楷體" w:hAnsi="標楷體" w:hint="eastAsia"/>
        </w:rPr>
        <w:t>每學期獎勵</w:t>
      </w:r>
      <w:r w:rsidR="00B374E6" w:rsidRPr="00A44018">
        <w:rPr>
          <w:rFonts w:ascii="Times New Roman" w:eastAsia="標楷體" w:hAnsi="Times New Roman"/>
        </w:rPr>
        <w:t>5</w:t>
      </w:r>
      <w:r w:rsidR="00B374E6" w:rsidRPr="00A44018">
        <w:rPr>
          <w:rFonts w:ascii="標楷體" w:eastAsia="標楷體" w:hAnsi="標楷體" w:hint="eastAsia"/>
        </w:rPr>
        <w:t>組</w:t>
      </w:r>
      <w:r w:rsidR="00B374E6" w:rsidRPr="004E0A04">
        <w:rPr>
          <w:rFonts w:ascii="標楷體" w:eastAsia="標楷體" w:hAnsi="標楷體" w:hint="eastAsia"/>
        </w:rPr>
        <w:t>為原則，</w:t>
      </w:r>
      <w:r w:rsidR="004E0A04">
        <w:rPr>
          <w:rFonts w:ascii="標楷體" w:eastAsia="標楷體" w:hAnsi="標楷體" w:hint="eastAsia"/>
        </w:rPr>
        <w:t>每組</w:t>
      </w:r>
      <w:r w:rsidR="00B374E6" w:rsidRPr="004E0A04">
        <w:rPr>
          <w:rFonts w:ascii="標楷體" w:eastAsia="標楷體" w:hAnsi="標楷體" w:hint="eastAsia"/>
        </w:rPr>
        <w:t>獎勵金額以新臺幣</w:t>
      </w:r>
      <w:r w:rsidR="00B374E6" w:rsidRPr="004E0A04">
        <w:rPr>
          <w:rFonts w:ascii="Times New Roman" w:eastAsia="標楷體" w:hAnsi="Times New Roman"/>
        </w:rPr>
        <w:t>2</w:t>
      </w:r>
      <w:r w:rsidR="00B374E6" w:rsidRPr="004E0A04">
        <w:rPr>
          <w:rFonts w:ascii="標楷體" w:eastAsia="標楷體" w:hAnsi="標楷體" w:hint="eastAsia"/>
        </w:rPr>
        <w:t>萬元為限，每位老師至多</w:t>
      </w:r>
      <w:r w:rsidR="00B374E6" w:rsidRPr="004E0A04">
        <w:rPr>
          <w:rFonts w:ascii="標楷體" w:eastAsia="標楷體" w:hAnsi="標楷體" w:hint="eastAsia"/>
          <w:szCs w:val="20"/>
        </w:rPr>
        <w:t>新臺幣</w:t>
      </w:r>
      <w:r w:rsidR="00B374E6" w:rsidRPr="004E0A04">
        <w:rPr>
          <w:rFonts w:ascii="Times New Roman" w:eastAsia="標楷體" w:hAnsi="Times New Roman"/>
          <w:szCs w:val="20"/>
        </w:rPr>
        <w:t>1</w:t>
      </w:r>
      <w:r w:rsidR="00B374E6" w:rsidRPr="004E0A04">
        <w:rPr>
          <w:rFonts w:ascii="標楷體" w:eastAsia="標楷體" w:hAnsi="標楷體" w:hint="eastAsia"/>
          <w:szCs w:val="20"/>
        </w:rPr>
        <w:t>萬元。</w:t>
      </w:r>
    </w:p>
    <w:p w14:paraId="0B338309" w14:textId="77777777" w:rsidR="00AC7854" w:rsidRPr="004E0A04" w:rsidRDefault="00AC7854" w:rsidP="00AC7854">
      <w:pPr>
        <w:spacing w:line="240" w:lineRule="atLeast"/>
        <w:ind w:left="478" w:hanging="58"/>
        <w:rPr>
          <w:rFonts w:ascii="標楷體" w:eastAsia="標楷體" w:hAnsi="標楷體"/>
        </w:rPr>
      </w:pPr>
      <w:r w:rsidRPr="004E0A04">
        <w:rPr>
          <w:rFonts w:ascii="標楷體" w:eastAsia="標楷體" w:hAnsi="標楷體" w:hint="eastAsia"/>
          <w:szCs w:val="20"/>
        </w:rPr>
        <w:t>（二）</w:t>
      </w:r>
      <w:r w:rsidRPr="004E0A04">
        <w:rPr>
          <w:rFonts w:ascii="標楷體" w:eastAsia="標楷體" w:hAnsi="標楷體"/>
          <w:szCs w:val="20"/>
        </w:rPr>
        <w:t>每位教師每次</w:t>
      </w:r>
      <w:r w:rsidRPr="004E0A04">
        <w:rPr>
          <w:rFonts w:ascii="標楷體" w:eastAsia="標楷體" w:hAnsi="標楷體" w:hint="eastAsia"/>
          <w:szCs w:val="20"/>
        </w:rPr>
        <w:t>限</w:t>
      </w:r>
      <w:r w:rsidRPr="004E0A04">
        <w:rPr>
          <w:rFonts w:ascii="標楷體" w:eastAsia="標楷體" w:hAnsi="標楷體"/>
          <w:szCs w:val="20"/>
        </w:rPr>
        <w:t>以申請</w:t>
      </w:r>
      <w:r w:rsidRPr="004E0A04">
        <w:rPr>
          <w:rFonts w:ascii="Times New Roman" w:eastAsia="標楷體" w:hAnsi="Times New Roman"/>
          <w:szCs w:val="20"/>
        </w:rPr>
        <w:t>2</w:t>
      </w:r>
      <w:r w:rsidRPr="004E0A04">
        <w:rPr>
          <w:rFonts w:ascii="標楷體" w:eastAsia="標楷體" w:hAnsi="標楷體" w:hint="eastAsia"/>
          <w:szCs w:val="20"/>
        </w:rPr>
        <w:t>組</w:t>
      </w:r>
      <w:r w:rsidRPr="004E0A04">
        <w:rPr>
          <w:rFonts w:ascii="標楷體" w:eastAsia="標楷體" w:hAnsi="標楷體"/>
          <w:szCs w:val="20"/>
        </w:rPr>
        <w:t>為限</w:t>
      </w:r>
      <w:r w:rsidRPr="004E0A04">
        <w:rPr>
          <w:rFonts w:ascii="標楷體" w:eastAsia="標楷體" w:hAnsi="標楷體" w:hint="eastAsia"/>
          <w:szCs w:val="20"/>
        </w:rPr>
        <w:t>。</w:t>
      </w:r>
    </w:p>
    <w:p w14:paraId="5236B235" w14:textId="0948CC69" w:rsidR="00AC7854" w:rsidRPr="004E0A04" w:rsidRDefault="00AC7854" w:rsidP="00AC7854">
      <w:pPr>
        <w:widowControl/>
        <w:spacing w:line="240" w:lineRule="atLeast"/>
        <w:ind w:leftChars="10" w:left="989" w:hangingChars="402" w:hanging="965"/>
        <w:jc w:val="both"/>
        <w:rPr>
          <w:rFonts w:ascii="Times New Roman" w:eastAsia="標楷體" w:hAnsi="Times New Roman"/>
          <w:kern w:val="0"/>
          <w:szCs w:val="24"/>
        </w:rPr>
      </w:pPr>
      <w:r w:rsidRPr="004E0A04">
        <w:rPr>
          <w:rFonts w:ascii="標楷體" w:eastAsia="標楷體" w:hAnsi="標楷體" w:hint="eastAsia"/>
          <w:szCs w:val="20"/>
        </w:rPr>
        <w:t>六、</w:t>
      </w:r>
      <w:r w:rsidRPr="004E0A04">
        <w:rPr>
          <w:rFonts w:ascii="Times New Roman" w:eastAsia="標楷體" w:hAnsi="Times New Roman"/>
          <w:kern w:val="0"/>
          <w:szCs w:val="24"/>
        </w:rPr>
        <w:t>評</w:t>
      </w:r>
      <w:r w:rsidRPr="004E0A04">
        <w:rPr>
          <w:rFonts w:ascii="Times New Roman" w:eastAsia="標楷體" w:hAnsi="Times New Roman" w:hint="eastAsia"/>
          <w:kern w:val="0"/>
          <w:szCs w:val="24"/>
        </w:rPr>
        <w:t>選</w:t>
      </w:r>
      <w:r w:rsidRPr="004E0A04">
        <w:rPr>
          <w:rFonts w:ascii="Times New Roman" w:eastAsia="標楷體" w:hAnsi="Times New Roman"/>
          <w:kern w:val="0"/>
          <w:szCs w:val="24"/>
        </w:rPr>
        <w:t>作業</w:t>
      </w:r>
    </w:p>
    <w:p w14:paraId="175F6F1A" w14:textId="77777777" w:rsidR="00AC7854" w:rsidRPr="004E0A04" w:rsidRDefault="00AC7854" w:rsidP="00AC7854">
      <w:pPr>
        <w:tabs>
          <w:tab w:val="left" w:pos="1042"/>
        </w:tabs>
        <w:spacing w:line="240" w:lineRule="atLeast"/>
        <w:ind w:leftChars="198" w:left="475" w:firstLineChars="5" w:firstLine="12"/>
        <w:rPr>
          <w:rFonts w:ascii="標楷體" w:eastAsia="標楷體" w:hAnsi="標楷體"/>
        </w:rPr>
      </w:pPr>
      <w:r w:rsidRPr="004E0A04">
        <w:rPr>
          <w:rFonts w:ascii="標楷體" w:eastAsia="標楷體" w:hAnsi="標楷體" w:hint="eastAsia"/>
        </w:rPr>
        <w:t>本獎勵由教學獎勵審查小組負責評選，此小組之設置依據「中國科技大學教務會議組織章程」第七之一條規定辦理。小組之成員如為申請人時應予迴避。評選時得邀請申請人列席報告，評選</w:t>
      </w:r>
      <w:proofErr w:type="gramStart"/>
      <w:r w:rsidRPr="004E0A04">
        <w:rPr>
          <w:rFonts w:ascii="標楷體" w:eastAsia="標楷體" w:hAnsi="標楷體" w:hint="eastAsia"/>
        </w:rPr>
        <w:t>結果送校教師</w:t>
      </w:r>
      <w:proofErr w:type="gramEnd"/>
      <w:r w:rsidRPr="004E0A04">
        <w:rPr>
          <w:rFonts w:ascii="標楷體" w:eastAsia="標楷體" w:hAnsi="標楷體" w:hint="eastAsia"/>
        </w:rPr>
        <w:t>評審委員會審議，經校長核定後公告並通知申請教師。</w:t>
      </w:r>
    </w:p>
    <w:p w14:paraId="4335F5BD" w14:textId="24E534D8" w:rsidR="00AC7854" w:rsidRPr="00AC7854" w:rsidRDefault="00AC7854" w:rsidP="00AC7854">
      <w:pPr>
        <w:spacing w:line="240" w:lineRule="atLeast"/>
        <w:rPr>
          <w:rFonts w:ascii="標楷體" w:eastAsia="標楷體" w:hAnsi="標楷體"/>
        </w:rPr>
      </w:pPr>
      <w:r w:rsidRPr="004E0A04">
        <w:rPr>
          <w:rFonts w:ascii="標楷體" w:eastAsia="標楷體" w:hAnsi="標楷體" w:hint="eastAsia"/>
        </w:rPr>
        <w:t>七</w:t>
      </w:r>
      <w:r w:rsidRPr="00AC7854">
        <w:rPr>
          <w:rFonts w:ascii="標楷體" w:eastAsia="標楷體" w:hAnsi="標楷體" w:hint="eastAsia"/>
        </w:rPr>
        <w:t>、成果報告及相關義務</w:t>
      </w:r>
    </w:p>
    <w:p w14:paraId="08211D78" w14:textId="77777777" w:rsidR="00AC7854" w:rsidRPr="00AC7854" w:rsidRDefault="00AC7854" w:rsidP="00AC7854">
      <w:pPr>
        <w:spacing w:line="240" w:lineRule="atLeast"/>
        <w:ind w:leftChars="200" w:left="480"/>
        <w:jc w:val="both"/>
      </w:pPr>
      <w:r w:rsidRPr="00AC7854" w:rsidDel="00BA7837">
        <w:rPr>
          <w:rFonts w:ascii="標楷體" w:eastAsia="標楷體" w:hAnsi="標楷體" w:hint="eastAsia"/>
        </w:rPr>
        <w:t>專題</w:t>
      </w:r>
      <w:r w:rsidRPr="00AC7854">
        <w:rPr>
          <w:rFonts w:ascii="標楷體" w:eastAsia="標楷體" w:hAnsi="標楷體" w:hint="eastAsia"/>
        </w:rPr>
        <w:t>計畫團隊應於規定期限內，繳交成果報告至教務處核備。參與成員有義務參加所有辦理跨領域實務專題之相關競賽經驗分享與成果發表會等活動，無法配合者將停止隔年之獎</w:t>
      </w:r>
      <w:r w:rsidRPr="00AC7854">
        <w:rPr>
          <w:rFonts w:ascii="標楷體" w:eastAsia="標楷體" w:hAnsi="標楷體" w:hint="eastAsia"/>
          <w:u w:val="single"/>
        </w:rPr>
        <w:t>勵</w:t>
      </w:r>
      <w:r w:rsidRPr="00AC7854">
        <w:rPr>
          <w:rFonts w:ascii="標楷體" w:eastAsia="標楷體" w:hAnsi="標楷體" w:hint="eastAsia"/>
        </w:rPr>
        <w:t>申請資格。</w:t>
      </w:r>
    </w:p>
    <w:p w14:paraId="5436888D" w14:textId="68CEA7AA" w:rsidR="00BE1F94" w:rsidRDefault="00AC7854" w:rsidP="00AC7854">
      <w:pPr>
        <w:pStyle w:val="aa"/>
        <w:spacing w:line="240" w:lineRule="atLeast"/>
        <w:ind w:leftChars="0" w:left="0"/>
        <w:rPr>
          <w:rFonts w:ascii="標楷體" w:eastAsia="標楷體" w:hAnsi="標楷體"/>
          <w:color w:val="000000"/>
        </w:rPr>
      </w:pPr>
      <w:r w:rsidRPr="004E0A04">
        <w:rPr>
          <w:rFonts w:ascii="標楷體" w:eastAsia="標楷體" w:hAnsi="標楷體" w:hint="eastAsia"/>
        </w:rPr>
        <w:t>八</w:t>
      </w:r>
      <w:r w:rsidRPr="00AC7854">
        <w:rPr>
          <w:rFonts w:ascii="標楷體" w:eastAsia="標楷體" w:hAnsi="標楷體" w:hint="eastAsia"/>
        </w:rPr>
        <w:t>、本要點經行政會議通過，自發布日施行。</w:t>
      </w:r>
    </w:p>
    <w:sectPr w:rsidR="00BE1F94" w:rsidSect="00035815">
      <w:footerReference w:type="default" r:id="rId10"/>
      <w:pgSz w:w="11906" w:h="16838"/>
      <w:pgMar w:top="1418" w:right="1247" w:bottom="1418" w:left="1247" w:header="794"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793C0" w14:textId="77777777" w:rsidR="004E1A06" w:rsidRDefault="004E1A06" w:rsidP="00E72B9C">
      <w:r>
        <w:separator/>
      </w:r>
    </w:p>
  </w:endnote>
  <w:endnote w:type="continuationSeparator" w:id="0">
    <w:p w14:paraId="7D956A9C" w14:textId="77777777" w:rsidR="004E1A06" w:rsidRDefault="004E1A06" w:rsidP="00E7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a漀...">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078166"/>
      <w:docPartObj>
        <w:docPartGallery w:val="Page Numbers (Bottom of Page)"/>
        <w:docPartUnique/>
      </w:docPartObj>
    </w:sdtPr>
    <w:sdtContent>
      <w:p w14:paraId="150A2786" w14:textId="1EFA50AF" w:rsidR="00A567E9" w:rsidRDefault="00A567E9">
        <w:pPr>
          <w:pStyle w:val="a6"/>
          <w:jc w:val="center"/>
        </w:pPr>
        <w:r>
          <w:fldChar w:fldCharType="begin"/>
        </w:r>
        <w:r>
          <w:instrText>PAGE   \* MERGEFORMAT</w:instrText>
        </w:r>
        <w:r>
          <w:fldChar w:fldCharType="separate"/>
        </w:r>
        <w:r w:rsidR="00035815" w:rsidRPr="00035815">
          <w:rPr>
            <w:noProof/>
            <w:lang w:val="zh-TW"/>
          </w:rPr>
          <w:t>1</w:t>
        </w:r>
        <w:r>
          <w:fldChar w:fldCharType="end"/>
        </w:r>
      </w:p>
    </w:sdtContent>
  </w:sdt>
  <w:p w14:paraId="37A4B986" w14:textId="000CDDEF" w:rsidR="005D0686" w:rsidRPr="00544826" w:rsidRDefault="005D0686" w:rsidP="00544826">
    <w:pPr>
      <w:pStyle w:val="a6"/>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F169F" w14:textId="77777777" w:rsidR="004E1A06" w:rsidRDefault="004E1A06" w:rsidP="00E72B9C">
      <w:r>
        <w:separator/>
      </w:r>
    </w:p>
  </w:footnote>
  <w:footnote w:type="continuationSeparator" w:id="0">
    <w:p w14:paraId="48464C70" w14:textId="77777777" w:rsidR="004E1A06" w:rsidRDefault="004E1A06" w:rsidP="00E72B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661"/>
    <w:multiLevelType w:val="hybridMultilevel"/>
    <w:tmpl w:val="CDB2B9C4"/>
    <w:lvl w:ilvl="0" w:tplc="4B80CD70">
      <w:start w:val="1"/>
      <w:numFmt w:val="taiwaneseCountingThousand"/>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 w15:restartNumberingAfterBreak="0">
    <w:nsid w:val="0B980445"/>
    <w:multiLevelType w:val="hybridMultilevel"/>
    <w:tmpl w:val="D1DA29DA"/>
    <w:lvl w:ilvl="0" w:tplc="E6EC6A80">
      <w:start w:val="5"/>
      <w:numFmt w:val="taiwaneseCountingThousand"/>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105BD8"/>
    <w:multiLevelType w:val="hybridMultilevel"/>
    <w:tmpl w:val="D2D25E6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941DE2"/>
    <w:multiLevelType w:val="hybridMultilevel"/>
    <w:tmpl w:val="29306ED8"/>
    <w:lvl w:ilvl="0" w:tplc="DA488F5C">
      <w:start w:val="1"/>
      <w:numFmt w:val="decimal"/>
      <w:lvlText w:val="%1."/>
      <w:lvlJc w:val="left"/>
      <w:pPr>
        <w:ind w:left="689" w:hanging="480"/>
      </w:pPr>
      <w:rPr>
        <w:rFonts w:hint="default"/>
      </w:rPr>
    </w:lvl>
    <w:lvl w:ilvl="1" w:tplc="04090019" w:tentative="1">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4" w15:restartNumberingAfterBreak="0">
    <w:nsid w:val="1A14316A"/>
    <w:multiLevelType w:val="hybridMultilevel"/>
    <w:tmpl w:val="CDB2B9C4"/>
    <w:lvl w:ilvl="0" w:tplc="4B80CD70">
      <w:start w:val="1"/>
      <w:numFmt w:val="taiwaneseCountingThousand"/>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 w15:restartNumberingAfterBreak="0">
    <w:nsid w:val="1B61021B"/>
    <w:multiLevelType w:val="hybridMultilevel"/>
    <w:tmpl w:val="CDB2B9C4"/>
    <w:lvl w:ilvl="0" w:tplc="4B80CD70">
      <w:start w:val="1"/>
      <w:numFmt w:val="taiwaneseCountingThousand"/>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6" w15:restartNumberingAfterBreak="0">
    <w:nsid w:val="20C429CE"/>
    <w:multiLevelType w:val="hybridMultilevel"/>
    <w:tmpl w:val="CDB2B9C4"/>
    <w:lvl w:ilvl="0" w:tplc="4B80CD70">
      <w:start w:val="1"/>
      <w:numFmt w:val="taiwaneseCountingThousand"/>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7" w15:restartNumberingAfterBreak="0">
    <w:nsid w:val="21C958E8"/>
    <w:multiLevelType w:val="hybridMultilevel"/>
    <w:tmpl w:val="BF1A034E"/>
    <w:lvl w:ilvl="0" w:tplc="6B0ADB78">
      <w:start w:val="6"/>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A15C6A"/>
    <w:multiLevelType w:val="hybridMultilevel"/>
    <w:tmpl w:val="83B66E8C"/>
    <w:lvl w:ilvl="0" w:tplc="FF5AB634">
      <w:start w:val="3"/>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15:restartNumberingAfterBreak="0">
    <w:nsid w:val="28410752"/>
    <w:multiLevelType w:val="hybridMultilevel"/>
    <w:tmpl w:val="00E22A8C"/>
    <w:lvl w:ilvl="0" w:tplc="9CAAC35C">
      <w:start w:val="7"/>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9B0506"/>
    <w:multiLevelType w:val="hybridMultilevel"/>
    <w:tmpl w:val="CDB2B9C4"/>
    <w:lvl w:ilvl="0" w:tplc="4B80CD70">
      <w:start w:val="1"/>
      <w:numFmt w:val="taiwaneseCountingThousand"/>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 w15:restartNumberingAfterBreak="0">
    <w:nsid w:val="5B1F0C1E"/>
    <w:multiLevelType w:val="hybridMultilevel"/>
    <w:tmpl w:val="F4087D24"/>
    <w:lvl w:ilvl="0" w:tplc="249831A4">
      <w:start w:val="5"/>
      <w:numFmt w:val="taiwaneseCountingThousand"/>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361D10"/>
    <w:multiLevelType w:val="hybridMultilevel"/>
    <w:tmpl w:val="2A964444"/>
    <w:lvl w:ilvl="0" w:tplc="B6BCDD8A">
      <w:start w:val="8"/>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88797E"/>
    <w:multiLevelType w:val="hybridMultilevel"/>
    <w:tmpl w:val="F4C4CE48"/>
    <w:lvl w:ilvl="0" w:tplc="34A628D6">
      <w:start w:val="1"/>
      <w:numFmt w:val="taiwaneseCountingThousand"/>
      <w:lvlText w:val="(%1)"/>
      <w:lvlJc w:val="left"/>
      <w:pPr>
        <w:tabs>
          <w:tab w:val="num" w:pos="0"/>
        </w:tabs>
        <w:ind w:left="227" w:hanging="340"/>
      </w:pPr>
      <w:rPr>
        <w:rFonts w:ascii="Arial" w:cs="Arial" w:hint="default"/>
      </w:rPr>
    </w:lvl>
    <w:lvl w:ilvl="1" w:tplc="04090019">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4" w15:restartNumberingAfterBreak="0">
    <w:nsid w:val="60AE4D9B"/>
    <w:multiLevelType w:val="hybridMultilevel"/>
    <w:tmpl w:val="70F29238"/>
    <w:lvl w:ilvl="0" w:tplc="BA88A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15E160B"/>
    <w:multiLevelType w:val="hybridMultilevel"/>
    <w:tmpl w:val="FFBA3422"/>
    <w:lvl w:ilvl="0" w:tplc="1D548F5A">
      <w:start w:val="6"/>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23675DF"/>
    <w:multiLevelType w:val="hybridMultilevel"/>
    <w:tmpl w:val="08282CCA"/>
    <w:lvl w:ilvl="0" w:tplc="DF86D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DD7831"/>
    <w:multiLevelType w:val="hybridMultilevel"/>
    <w:tmpl w:val="CDB2B9C4"/>
    <w:lvl w:ilvl="0" w:tplc="4B80CD70">
      <w:start w:val="1"/>
      <w:numFmt w:val="taiwaneseCountingThousand"/>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8" w15:restartNumberingAfterBreak="0">
    <w:nsid w:val="7153511F"/>
    <w:multiLevelType w:val="hybridMultilevel"/>
    <w:tmpl w:val="7E34097A"/>
    <w:lvl w:ilvl="0" w:tplc="E29E7F36">
      <w:start w:val="1"/>
      <w:numFmt w:val="taiwaneseCountingThousand"/>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29050D0"/>
    <w:multiLevelType w:val="hybridMultilevel"/>
    <w:tmpl w:val="7E34097A"/>
    <w:lvl w:ilvl="0" w:tplc="E29E7F36">
      <w:start w:val="1"/>
      <w:numFmt w:val="taiwaneseCountingThousand"/>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748461F"/>
    <w:multiLevelType w:val="hybridMultilevel"/>
    <w:tmpl w:val="F4C4CE48"/>
    <w:lvl w:ilvl="0" w:tplc="34A628D6">
      <w:start w:val="1"/>
      <w:numFmt w:val="taiwaneseCountingThousand"/>
      <w:lvlText w:val="(%1)"/>
      <w:lvlJc w:val="left"/>
      <w:pPr>
        <w:tabs>
          <w:tab w:val="num" w:pos="0"/>
        </w:tabs>
        <w:ind w:left="227" w:hanging="340"/>
      </w:pPr>
      <w:rPr>
        <w:rFonts w:ascii="Arial" w:cs="Arial" w:hint="default"/>
      </w:rPr>
    </w:lvl>
    <w:lvl w:ilvl="1" w:tplc="04090019">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num w:numId="1">
    <w:abstractNumId w:val="20"/>
  </w:num>
  <w:num w:numId="2">
    <w:abstractNumId w:val="8"/>
  </w:num>
  <w:num w:numId="3">
    <w:abstractNumId w:val="17"/>
  </w:num>
  <w:num w:numId="4">
    <w:abstractNumId w:val="15"/>
  </w:num>
  <w:num w:numId="5">
    <w:abstractNumId w:val="19"/>
  </w:num>
  <w:num w:numId="6">
    <w:abstractNumId w:val="7"/>
  </w:num>
  <w:num w:numId="7">
    <w:abstractNumId w:val="14"/>
  </w:num>
  <w:num w:numId="8">
    <w:abstractNumId w:val="9"/>
  </w:num>
  <w:num w:numId="9">
    <w:abstractNumId w:val="12"/>
  </w:num>
  <w:num w:numId="10">
    <w:abstractNumId w:val="18"/>
  </w:num>
  <w:num w:numId="11">
    <w:abstractNumId w:val="11"/>
  </w:num>
  <w:num w:numId="12">
    <w:abstractNumId w:val="1"/>
  </w:num>
  <w:num w:numId="13">
    <w:abstractNumId w:val="5"/>
  </w:num>
  <w:num w:numId="14">
    <w:abstractNumId w:val="0"/>
  </w:num>
  <w:num w:numId="15">
    <w:abstractNumId w:val="4"/>
  </w:num>
  <w:num w:numId="16">
    <w:abstractNumId w:val="13"/>
  </w:num>
  <w:num w:numId="17">
    <w:abstractNumId w:val="6"/>
  </w:num>
  <w:num w:numId="18">
    <w:abstractNumId w:val="3"/>
  </w:num>
  <w:num w:numId="19">
    <w:abstractNumId w:val="2"/>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9C"/>
    <w:rsid w:val="00014BD2"/>
    <w:rsid w:val="00035815"/>
    <w:rsid w:val="00042B72"/>
    <w:rsid w:val="0007516A"/>
    <w:rsid w:val="00083A45"/>
    <w:rsid w:val="000846D4"/>
    <w:rsid w:val="00084DC5"/>
    <w:rsid w:val="000850D8"/>
    <w:rsid w:val="00086DB6"/>
    <w:rsid w:val="00087B13"/>
    <w:rsid w:val="000E3CAE"/>
    <w:rsid w:val="000E6043"/>
    <w:rsid w:val="001160DE"/>
    <w:rsid w:val="00144E79"/>
    <w:rsid w:val="00160114"/>
    <w:rsid w:val="001838D0"/>
    <w:rsid w:val="00192787"/>
    <w:rsid w:val="001C2C80"/>
    <w:rsid w:val="001D0C39"/>
    <w:rsid w:val="002271A8"/>
    <w:rsid w:val="00233590"/>
    <w:rsid w:val="0023456F"/>
    <w:rsid w:val="002861EB"/>
    <w:rsid w:val="002C222D"/>
    <w:rsid w:val="002C5C72"/>
    <w:rsid w:val="002E668E"/>
    <w:rsid w:val="00331B4D"/>
    <w:rsid w:val="00333FF4"/>
    <w:rsid w:val="00335E9C"/>
    <w:rsid w:val="00352328"/>
    <w:rsid w:val="003B42F7"/>
    <w:rsid w:val="004D7762"/>
    <w:rsid w:val="004E0A04"/>
    <w:rsid w:val="004E1A06"/>
    <w:rsid w:val="0050331F"/>
    <w:rsid w:val="00523DAD"/>
    <w:rsid w:val="00544826"/>
    <w:rsid w:val="00566B50"/>
    <w:rsid w:val="00570495"/>
    <w:rsid w:val="00596200"/>
    <w:rsid w:val="005D0686"/>
    <w:rsid w:val="005D5104"/>
    <w:rsid w:val="00611D01"/>
    <w:rsid w:val="006261CC"/>
    <w:rsid w:val="00636653"/>
    <w:rsid w:val="00681BDB"/>
    <w:rsid w:val="00684B82"/>
    <w:rsid w:val="006D5BB0"/>
    <w:rsid w:val="0072379C"/>
    <w:rsid w:val="007472BC"/>
    <w:rsid w:val="007701A1"/>
    <w:rsid w:val="00796044"/>
    <w:rsid w:val="007A4B98"/>
    <w:rsid w:val="007A7004"/>
    <w:rsid w:val="007E5F92"/>
    <w:rsid w:val="00800F4E"/>
    <w:rsid w:val="00817F4D"/>
    <w:rsid w:val="00821314"/>
    <w:rsid w:val="008C10DE"/>
    <w:rsid w:val="008E50CA"/>
    <w:rsid w:val="009134CD"/>
    <w:rsid w:val="0091394A"/>
    <w:rsid w:val="009660FE"/>
    <w:rsid w:val="00985090"/>
    <w:rsid w:val="00985F74"/>
    <w:rsid w:val="009A4BC5"/>
    <w:rsid w:val="00A05BDC"/>
    <w:rsid w:val="00A214E3"/>
    <w:rsid w:val="00A44018"/>
    <w:rsid w:val="00A567E9"/>
    <w:rsid w:val="00A61E28"/>
    <w:rsid w:val="00A96138"/>
    <w:rsid w:val="00AA3676"/>
    <w:rsid w:val="00AC7854"/>
    <w:rsid w:val="00AE49EE"/>
    <w:rsid w:val="00B05F42"/>
    <w:rsid w:val="00B23195"/>
    <w:rsid w:val="00B374E6"/>
    <w:rsid w:val="00B561D2"/>
    <w:rsid w:val="00B668CF"/>
    <w:rsid w:val="00B82B7F"/>
    <w:rsid w:val="00B83E6E"/>
    <w:rsid w:val="00BE1F94"/>
    <w:rsid w:val="00BF08F5"/>
    <w:rsid w:val="00BF580B"/>
    <w:rsid w:val="00C070F5"/>
    <w:rsid w:val="00C552A4"/>
    <w:rsid w:val="00C56FA3"/>
    <w:rsid w:val="00C602D7"/>
    <w:rsid w:val="00C72258"/>
    <w:rsid w:val="00CF314A"/>
    <w:rsid w:val="00D1120F"/>
    <w:rsid w:val="00D209BF"/>
    <w:rsid w:val="00D25037"/>
    <w:rsid w:val="00D27712"/>
    <w:rsid w:val="00D62255"/>
    <w:rsid w:val="00D70A7B"/>
    <w:rsid w:val="00D751FC"/>
    <w:rsid w:val="00D814E1"/>
    <w:rsid w:val="00D97FC5"/>
    <w:rsid w:val="00DB1366"/>
    <w:rsid w:val="00DE1D4F"/>
    <w:rsid w:val="00E36835"/>
    <w:rsid w:val="00E72B9C"/>
    <w:rsid w:val="00E72C92"/>
    <w:rsid w:val="00E816DA"/>
    <w:rsid w:val="00ED2465"/>
    <w:rsid w:val="00F023E5"/>
    <w:rsid w:val="00F05C56"/>
    <w:rsid w:val="00F06777"/>
    <w:rsid w:val="00F22824"/>
    <w:rsid w:val="00F244C5"/>
    <w:rsid w:val="00F715DB"/>
    <w:rsid w:val="00F73929"/>
    <w:rsid w:val="00F828C7"/>
    <w:rsid w:val="00FF5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F12C4"/>
  <w15:docId w15:val="{D765AEBC-3400-4894-95FF-1CADAD5C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835"/>
    <w:pPr>
      <w:widowControl w:val="0"/>
    </w:pPr>
    <w:rPr>
      <w:kern w:val="2"/>
      <w:sz w:val="24"/>
      <w:szCs w:val="22"/>
    </w:rPr>
  </w:style>
  <w:style w:type="paragraph" w:styleId="2">
    <w:name w:val="heading 2"/>
    <w:basedOn w:val="a"/>
    <w:next w:val="a"/>
    <w:link w:val="20"/>
    <w:uiPriority w:val="9"/>
    <w:unhideWhenUsed/>
    <w:qFormat/>
    <w:rsid w:val="00BE1F9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2B9C"/>
    <w:pPr>
      <w:tabs>
        <w:tab w:val="center" w:pos="4153"/>
        <w:tab w:val="right" w:pos="8306"/>
      </w:tabs>
      <w:snapToGrid w:val="0"/>
    </w:pPr>
    <w:rPr>
      <w:sz w:val="20"/>
      <w:szCs w:val="20"/>
    </w:rPr>
  </w:style>
  <w:style w:type="character" w:customStyle="1" w:styleId="a5">
    <w:name w:val="頁首 字元"/>
    <w:link w:val="a4"/>
    <w:uiPriority w:val="99"/>
    <w:rsid w:val="00E72B9C"/>
    <w:rPr>
      <w:sz w:val="20"/>
      <w:szCs w:val="20"/>
    </w:rPr>
  </w:style>
  <w:style w:type="paragraph" w:styleId="a6">
    <w:name w:val="footer"/>
    <w:basedOn w:val="a"/>
    <w:link w:val="a7"/>
    <w:uiPriority w:val="99"/>
    <w:unhideWhenUsed/>
    <w:rsid w:val="00E72B9C"/>
    <w:pPr>
      <w:tabs>
        <w:tab w:val="center" w:pos="4153"/>
        <w:tab w:val="right" w:pos="8306"/>
      </w:tabs>
      <w:snapToGrid w:val="0"/>
    </w:pPr>
    <w:rPr>
      <w:sz w:val="20"/>
      <w:szCs w:val="20"/>
    </w:rPr>
  </w:style>
  <w:style w:type="character" w:customStyle="1" w:styleId="a7">
    <w:name w:val="頁尾 字元"/>
    <w:link w:val="a6"/>
    <w:uiPriority w:val="99"/>
    <w:rsid w:val="00E72B9C"/>
    <w:rPr>
      <w:sz w:val="20"/>
      <w:szCs w:val="20"/>
    </w:rPr>
  </w:style>
  <w:style w:type="paragraph" w:styleId="a8">
    <w:name w:val="Balloon Text"/>
    <w:basedOn w:val="a"/>
    <w:link w:val="a9"/>
    <w:uiPriority w:val="99"/>
    <w:semiHidden/>
    <w:unhideWhenUsed/>
    <w:rsid w:val="00E72B9C"/>
    <w:rPr>
      <w:rFonts w:ascii="Cambria" w:hAnsi="Cambria"/>
      <w:sz w:val="18"/>
      <w:szCs w:val="18"/>
    </w:rPr>
  </w:style>
  <w:style w:type="character" w:customStyle="1" w:styleId="a9">
    <w:name w:val="註解方塊文字 字元"/>
    <w:link w:val="a8"/>
    <w:uiPriority w:val="99"/>
    <w:semiHidden/>
    <w:rsid w:val="00E72B9C"/>
    <w:rPr>
      <w:rFonts w:ascii="Cambria" w:eastAsia="新細明體" w:hAnsi="Cambria" w:cs="Times New Roman"/>
      <w:sz w:val="18"/>
      <w:szCs w:val="18"/>
    </w:rPr>
  </w:style>
  <w:style w:type="table" w:customStyle="1" w:styleId="1">
    <w:name w:val="表格格線1"/>
    <w:basedOn w:val="a1"/>
    <w:next w:val="a3"/>
    <w:uiPriority w:val="59"/>
    <w:rsid w:val="002E668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50CA"/>
    <w:pPr>
      <w:ind w:leftChars="200" w:left="480"/>
    </w:pPr>
  </w:style>
  <w:style w:type="character" w:customStyle="1" w:styleId="20">
    <w:name w:val="標題 2 字元"/>
    <w:basedOn w:val="a0"/>
    <w:link w:val="2"/>
    <w:uiPriority w:val="9"/>
    <w:rsid w:val="00BE1F94"/>
    <w:rPr>
      <w:rFonts w:asciiTheme="majorHAnsi" w:eastAsiaTheme="majorEastAsia" w:hAnsiTheme="majorHAnsi" w:cstheme="majorBidi"/>
      <w:b/>
      <w:bCs/>
      <w:kern w:val="2"/>
      <w:sz w:val="48"/>
      <w:szCs w:val="48"/>
    </w:rPr>
  </w:style>
  <w:style w:type="table" w:customStyle="1" w:styleId="21">
    <w:name w:val="表格格線2"/>
    <w:basedOn w:val="a1"/>
    <w:next w:val="a3"/>
    <w:uiPriority w:val="39"/>
    <w:rsid w:val="00BE1F9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39"/>
    <w:rsid w:val="00A4401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018"/>
    <w:pPr>
      <w:widowControl w:val="0"/>
      <w:autoSpaceDE w:val="0"/>
      <w:autoSpaceDN w:val="0"/>
      <w:adjustRightInd w:val="0"/>
    </w:pPr>
    <w:rPr>
      <w:rFonts w:ascii="標楷體a漀..." w:eastAsia="標楷體a漀..." w:hAnsiTheme="minorHAnsi" w:cs="標楷體a漀..."/>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49F026C2237CA54F9C0A792BA5D88504" ma:contentTypeVersion="6" ma:contentTypeDescription="建立新的文件。" ma:contentTypeScope="" ma:versionID="df40aaf44106a657b2b0f21c1f67f820">
  <xsd:schema xmlns:xsd="http://www.w3.org/2001/XMLSchema" xmlns:xs="http://www.w3.org/2001/XMLSchema" xmlns:p="http://schemas.microsoft.com/office/2006/metadata/properties" xmlns:ns2="8b761b47-c59e-40a1-8f17-3b2d8c70b2a5" xmlns:ns3="787dc82c-fb0e-4f93-911d-0d07c03e7817" targetNamespace="http://schemas.microsoft.com/office/2006/metadata/properties" ma:root="true" ma:fieldsID="faa72223efcd355a86e792bfa6d536e6" ns2:_="" ns3:_="">
    <xsd:import namespace="8b761b47-c59e-40a1-8f17-3b2d8c70b2a5"/>
    <xsd:import namespace="787dc82c-fb0e-4f93-911d-0d07c03e78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1b47-c59e-40a1-8f17-3b2d8c70b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dc82c-fb0e-4f93-911d-0d07c03e7817" elementFormDefault="qualified">
    <xsd:import namespace="http://schemas.microsoft.com/office/2006/documentManagement/types"/>
    <xsd:import namespace="http://schemas.microsoft.com/office/infopath/2007/PartnerControls"/>
    <xsd:element name="SharedWithUsers" ma:index="12"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59334-9342-408B-8C49-A87FD188E6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189747-3347-44AC-9B6C-A4E771D25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1b47-c59e-40a1-8f17-3b2d8c70b2a5"/>
    <ds:schemaRef ds:uri="787dc82c-fb0e-4f93-911d-0d07c03e7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917B2-F925-4442-BEB6-92EC6C186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chinchun</cp:lastModifiedBy>
  <cp:revision>2</cp:revision>
  <cp:lastPrinted>2021-07-12T00:33:00Z</cp:lastPrinted>
  <dcterms:created xsi:type="dcterms:W3CDTF">2021-12-09T05:26:00Z</dcterms:created>
  <dcterms:modified xsi:type="dcterms:W3CDTF">2021-12-09T05:26:00Z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0x01010049F026C2237CA54F9C0A792BA5D88504</vt:lpwstr>
  </property>
</Properties>
</file>